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Le risorse finanziarie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principale fonte di finanziamento delle attività d’Istituto è costituita dai trasferimenti ministeriali (dotazione ordinaria e perequativa); a questi si aggiungono i fondi previsti da specifiche leggi o norme contrattuali (per l’attuazione dell’Autonomia, per l’arricchimento dell’offerta formativa, per le attività complementari e integrative, per il compenso di attività aggiuntive e di funzioni strumentali). Molti progetti trovano copertura mediante Fondi regionali – Fondi Comunali e Provinciali attraverso la partecipazione della scuola a Bandi Pubblici, relativi a progetti specifici, nonché, mediante gli stanziamenti per il diritto allo studio e i fondi europei relativi ai bandi del PON o eventuali sponsorizzazioni, così come è capitato per la prima edizione del giornalino della scuola e per premiare gli alunni meritevoli.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La gestione delle risorse è resa pubblica mediante affissione all’Albo (e inserimento sul sito dell’Istituto) del “Programma Annuale” e del relativo “Conto Consuntivo”.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303030"/>
          <w:sz w:val="24"/>
          <w:szCs w:val="24"/>
          <w:highlight w:val="white"/>
          <w:rtl w:val="0"/>
        </w:rPr>
        <w:t xml:space="preserve">Riduzione dei divari negli apprendimenti e contrasto alla dispersione scolastica (D.M. 19/2024)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303030"/>
          <w:sz w:val="24"/>
          <w:szCs w:val="24"/>
          <w:highlight w:val="white"/>
          <w:rtl w:val="0"/>
        </w:rPr>
        <w:t xml:space="preserve">Formazione del personale scolastico per la transizione digitale nelle scuole statali (D.M. 66/2023)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303030"/>
          <w:sz w:val="24"/>
          <w:szCs w:val="24"/>
          <w:highlight w:val="white"/>
          <w:rtl w:val="0"/>
        </w:rPr>
        <w:t xml:space="preserve">Competenze STEM e multilinguistiche nelle scuole statali (D.M. 65/2023)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303030"/>
          <w:sz w:val="24"/>
          <w:szCs w:val="24"/>
          <w:highlight w:val="white"/>
          <w:rtl w:val="0"/>
        </w:rPr>
        <w:t xml:space="preserve">Azioni di prevenzione e contrasto alla dispersione scolastica (D.M. 170/2022)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303030"/>
          <w:sz w:val="24"/>
          <w:szCs w:val="24"/>
          <w:highlight w:val="white"/>
          <w:rtl w:val="0"/>
        </w:rPr>
        <w:t xml:space="preserve">Piano Scuola 4.0 - Azione 2 - Next generation labs - Laboratori per le professioni digitali del futuro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303030"/>
          <w:sz w:val="24"/>
          <w:szCs w:val="24"/>
          <w:highlight w:val="white"/>
          <w:rtl w:val="0"/>
        </w:rPr>
        <w:t xml:space="preserve">Piano Scuola 4.0 - Azione 1 - Next generation class - Ambienti di apprendimento innovativi D.M. 218/2022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line="276" w:lineRule="auto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303030"/>
          <w:sz w:val="24"/>
          <w:szCs w:val="24"/>
          <w:highlight w:val="white"/>
          <w:rtl w:val="0"/>
        </w:rPr>
        <w:t xml:space="preserve">Animatori digitali 2022-2024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303030"/>
          <w:sz w:val="24"/>
          <w:szCs w:val="24"/>
          <w:highlight w:val="white"/>
          <w:rtl w:val="0"/>
        </w:rPr>
        <w:t xml:space="preserve">D.M. n. 222/2022 - Art. 2 - Nota prot. n. 91698 del 31 ottobre 2022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Arial" w:cs="Arial" w:eastAsia="Arial" w:hAnsi="Arial"/>
          <w:b w:val="1"/>
          <w:color w:val="303030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917B9D"/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E31D47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testo"/>
    <w:rsid w:val="00E31D47"/>
    <w:pPr>
      <w:suppressAutoHyphens w:val="1"/>
      <w:spacing w:line="276" w:lineRule="auto"/>
      <w:jc w:val="both"/>
    </w:pPr>
    <w:rPr>
      <w:rFonts w:ascii="Times New Roman" w:cs="Times New Roman" w:eastAsia="Times New Roman" w:hAnsi="Times New Roman"/>
      <w:sz w:val="24"/>
      <w:szCs w:val="20"/>
      <w:lang w:eastAsia="zh-CN"/>
    </w:rPr>
  </w:style>
  <w:style w:type="paragraph" w:styleId="miotitolo2" w:customStyle="1">
    <w:name w:val="mio_titolo 2"/>
    <w:basedOn w:val="Titolo2"/>
    <w:rsid w:val="00E31D47"/>
    <w:pPr>
      <w:keepLines w:val="0"/>
      <w:suppressAutoHyphens w:val="1"/>
      <w:spacing w:after="240" w:before="360" w:line="276" w:lineRule="auto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  <w:lang w:eastAsia="zh-CN"/>
    </w:rPr>
  </w:style>
  <w:style w:type="character" w:styleId="Carattere9" w:customStyle="1">
    <w:name w:val="Carattere9"/>
    <w:rsid w:val="00E31D47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E31D47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E31D47"/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E31D47"/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3+NmQzeWHJ9+tRpqVaOTzsSDpQ==">CgMxLjA4AHIhMWFVdXgxMFFiU1JaOXQ5aGxDa0V4cWFuSjRtWnpNdFNB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2019-10-30T14:07:00Z</dcterms:created>
  <dc:creator>Roberto Levati</dc:creator>
</cp:coreProperties>
</file>